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440" w:lineRule="exact"/>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様式第３号</w:t>
      </w:r>
    </w:p>
    <w:p>
      <w:pPr>
        <w:pStyle w:val="0"/>
        <w:spacing w:line="440" w:lineRule="exact"/>
        <w:jc w:val="right"/>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令和　　年　　月　　日</w:t>
      </w:r>
    </w:p>
    <w:p>
      <w:pPr>
        <w:pStyle w:val="0"/>
        <w:spacing w:line="440" w:lineRule="exact"/>
        <w:jc w:val="right"/>
        <w:rPr>
          <w:rFonts w:hint="default" w:ascii="ＭＳ 明朝" w:hAnsi="ＭＳ 明朝" w:eastAsia="ＭＳ 明朝"/>
          <w:color w:val="000000" w:themeColor="text1"/>
          <w:sz w:val="24"/>
        </w:rPr>
      </w:pPr>
    </w:p>
    <w:p>
      <w:pPr>
        <w:pStyle w:val="0"/>
        <w:spacing w:line="440" w:lineRule="exact"/>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　内灘町長　　生田　勇人</w:t>
      </w:r>
    </w:p>
    <w:p>
      <w:pPr>
        <w:pStyle w:val="0"/>
        <w:spacing w:line="440" w:lineRule="exact"/>
        <w:jc w:val="left"/>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　　　　　　　　　　　　　　　　　　</w:t>
      </w:r>
      <w:r>
        <w:rPr>
          <w:rFonts w:hint="eastAsia" w:ascii="ＭＳ 明朝" w:hAnsi="ＭＳ 明朝" w:eastAsia="ＭＳ 明朝"/>
          <w:color w:val="000000" w:themeColor="text1"/>
          <w:spacing w:val="150"/>
          <w:kern w:val="0"/>
          <w:sz w:val="24"/>
          <w:fitText w:val="1320" w:id="1"/>
        </w:rPr>
        <w:t>所在</w:t>
      </w:r>
      <w:r>
        <w:rPr>
          <w:rFonts w:hint="eastAsia" w:ascii="ＭＳ 明朝" w:hAnsi="ＭＳ 明朝" w:eastAsia="ＭＳ 明朝"/>
          <w:color w:val="000000" w:themeColor="text1"/>
          <w:kern w:val="0"/>
          <w:sz w:val="24"/>
          <w:fitText w:val="1320" w:id="1"/>
        </w:rPr>
        <w:t>地</w:t>
      </w:r>
    </w:p>
    <w:p>
      <w:pPr>
        <w:pStyle w:val="0"/>
        <w:spacing w:line="440" w:lineRule="exact"/>
        <w:jc w:val="left"/>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　　　　　　　　　　　　　　　　　　商号又は名称</w:t>
      </w:r>
    </w:p>
    <w:p>
      <w:pPr>
        <w:pStyle w:val="0"/>
        <w:spacing w:line="440" w:lineRule="exact"/>
        <w:jc w:val="left"/>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　　　　　　　　　　　　　　　　　　代表者職氏名　　　　　　　　　　　　　</w:t>
      </w:r>
    </w:p>
    <w:p>
      <w:pPr>
        <w:pStyle w:val="0"/>
        <w:spacing w:line="440" w:lineRule="exact"/>
        <w:jc w:val="left"/>
        <w:rPr>
          <w:rFonts w:hint="default" w:ascii="ＭＳ 明朝" w:hAnsi="ＭＳ 明朝" w:eastAsia="ＭＳ 明朝"/>
          <w:color w:val="000000" w:themeColor="text1"/>
          <w:sz w:val="24"/>
        </w:rPr>
      </w:pPr>
    </w:p>
    <w:p>
      <w:pPr>
        <w:pStyle w:val="0"/>
        <w:spacing w:line="440" w:lineRule="exact"/>
        <w:jc w:val="center"/>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誓</w:t>
      </w:r>
      <w:r>
        <w:rPr>
          <w:rFonts w:hint="eastAsia" w:ascii="ＭＳ 明朝" w:hAnsi="ＭＳ 明朝" w:eastAsia="ＭＳ 明朝"/>
          <w:color w:val="000000" w:themeColor="text1"/>
          <w:sz w:val="24"/>
        </w:rPr>
        <w:t xml:space="preserve"> </w:t>
      </w:r>
      <w:r>
        <w:rPr>
          <w:rFonts w:hint="eastAsia" w:ascii="ＭＳ 明朝" w:hAnsi="ＭＳ 明朝" w:eastAsia="ＭＳ 明朝"/>
          <w:color w:val="000000" w:themeColor="text1"/>
          <w:sz w:val="24"/>
        </w:rPr>
        <w:t>約</w:t>
      </w:r>
      <w:r>
        <w:rPr>
          <w:rFonts w:hint="eastAsia" w:ascii="ＭＳ 明朝" w:hAnsi="ＭＳ 明朝" w:eastAsia="ＭＳ 明朝"/>
          <w:color w:val="000000" w:themeColor="text1"/>
          <w:sz w:val="24"/>
        </w:rPr>
        <w:t xml:space="preserve"> </w:t>
      </w:r>
      <w:r>
        <w:rPr>
          <w:rFonts w:hint="eastAsia" w:ascii="ＭＳ 明朝" w:hAnsi="ＭＳ 明朝" w:eastAsia="ＭＳ 明朝"/>
          <w:color w:val="000000" w:themeColor="text1"/>
          <w:sz w:val="24"/>
        </w:rPr>
        <w:t>書</w:t>
      </w:r>
    </w:p>
    <w:p>
      <w:pPr>
        <w:pStyle w:val="0"/>
        <w:spacing w:line="440" w:lineRule="exact"/>
        <w:jc w:val="left"/>
        <w:rPr>
          <w:rFonts w:hint="default" w:ascii="ＭＳ 明朝" w:hAnsi="ＭＳ 明朝" w:eastAsia="ＭＳ 明朝"/>
          <w:color w:val="000000" w:themeColor="text1"/>
          <w:sz w:val="24"/>
        </w:rPr>
      </w:pPr>
    </w:p>
    <w:p>
      <w:pPr>
        <w:pStyle w:val="0"/>
        <w:overflowPunct w:val="0"/>
        <w:spacing w:line="440" w:lineRule="exact"/>
        <w:ind w:firstLine="240" w:firstLineChars="100"/>
        <w:textAlignment w:val="baseline"/>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「内灘町ふるさと納税支援業務」の公募型プロポーザル参加にあたり、次の事項について誓約します。</w:t>
      </w:r>
    </w:p>
    <w:p>
      <w:pPr>
        <w:pStyle w:val="0"/>
        <w:overflowPunct w:val="0"/>
        <w:spacing w:line="440" w:lineRule="exact"/>
        <w:ind w:firstLine="240" w:firstLineChars="100"/>
        <w:textAlignment w:val="baseline"/>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なお、誓約事項に違反した場合は、速やかに書面により報告をするとともに、提案書の提出を辞退し、提案書の提出を行っている場合は、提案書の無効又は受注候補者決定の取り消しとなることについて、一切の異議申立てを行いません。</w:t>
      </w:r>
    </w:p>
    <w:p>
      <w:pPr>
        <w:pStyle w:val="0"/>
        <w:overflowPunct w:val="0"/>
        <w:spacing w:line="440" w:lineRule="exact"/>
        <w:ind w:firstLine="240" w:firstLineChars="100"/>
        <w:textAlignment w:val="baseline"/>
        <w:rPr>
          <w:rFonts w:hint="default" w:ascii="ＭＳ 明朝" w:hAnsi="ＭＳ 明朝" w:eastAsia="ＭＳ 明朝"/>
          <w:color w:val="000000" w:themeColor="text1"/>
          <w:sz w:val="24"/>
        </w:rPr>
      </w:pPr>
    </w:p>
    <w:p>
      <w:pPr>
        <w:pStyle w:val="0"/>
        <w:overflowPunct w:val="0"/>
        <w:spacing w:line="440" w:lineRule="exact"/>
        <w:jc w:val="center"/>
        <w:textAlignment w:val="baseline"/>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誓約事項</w:t>
      </w:r>
    </w:p>
    <w:p>
      <w:pPr>
        <w:pStyle w:val="0"/>
        <w:overflowPunct w:val="0"/>
        <w:spacing w:line="440" w:lineRule="exact"/>
        <w:jc w:val="center"/>
        <w:textAlignment w:val="baseline"/>
        <w:rPr>
          <w:rFonts w:hint="default" w:ascii="ＭＳ 明朝" w:hAnsi="ＭＳ 明朝" w:eastAsia="ＭＳ 明朝"/>
          <w:color w:val="000000" w:themeColor="text1"/>
          <w:sz w:val="24"/>
        </w:rPr>
      </w:pPr>
    </w:p>
    <w:p>
      <w:pPr>
        <w:pStyle w:val="0"/>
        <w:ind w:left="480" w:hanging="480" w:hangingChars="200"/>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（１）</w:t>
      </w:r>
      <w:r>
        <w:rPr>
          <w:rFonts w:hint="default" w:ascii="ＭＳ 明朝" w:hAnsi="ＭＳ 明朝" w:eastAsia="ＭＳ 明朝"/>
          <w:color w:val="000000" w:themeColor="text1"/>
          <w:sz w:val="24"/>
        </w:rPr>
        <w:t>地方自治法施行令（昭和</w:t>
      </w:r>
      <w:r>
        <w:rPr>
          <w:rFonts w:hint="default" w:ascii="ＭＳ 明朝" w:hAnsi="ＭＳ 明朝" w:eastAsia="ＭＳ 明朝"/>
          <w:color w:val="000000" w:themeColor="text1"/>
          <w:sz w:val="24"/>
        </w:rPr>
        <w:t>22</w:t>
      </w:r>
      <w:r>
        <w:rPr>
          <w:rFonts w:hint="default" w:ascii="ＭＳ 明朝" w:hAnsi="ＭＳ 明朝" w:eastAsia="ＭＳ 明朝"/>
          <w:color w:val="000000" w:themeColor="text1"/>
          <w:sz w:val="24"/>
        </w:rPr>
        <w:t>年政令第</w:t>
      </w:r>
      <w:r>
        <w:rPr>
          <w:rFonts w:hint="default" w:ascii="ＭＳ 明朝" w:hAnsi="ＭＳ 明朝" w:eastAsia="ＭＳ 明朝"/>
          <w:color w:val="000000" w:themeColor="text1"/>
          <w:sz w:val="24"/>
        </w:rPr>
        <w:t>16</w:t>
      </w:r>
      <w:r>
        <w:rPr>
          <w:rFonts w:hint="default" w:ascii="ＭＳ 明朝" w:hAnsi="ＭＳ 明朝" w:eastAsia="ＭＳ 明朝"/>
          <w:color w:val="000000" w:themeColor="text1"/>
          <w:sz w:val="24"/>
        </w:rPr>
        <w:t>号）第</w:t>
      </w:r>
      <w:r>
        <w:rPr>
          <w:rFonts w:hint="eastAsia" w:ascii="ＭＳ 明朝" w:hAnsi="ＭＳ 明朝" w:eastAsia="ＭＳ 明朝"/>
          <w:color w:val="000000" w:themeColor="text1"/>
          <w:sz w:val="24"/>
        </w:rPr>
        <w:t>１６７</w:t>
      </w:r>
      <w:r>
        <w:rPr>
          <w:rFonts w:hint="default" w:ascii="ＭＳ 明朝" w:hAnsi="ＭＳ 明朝" w:eastAsia="ＭＳ 明朝"/>
          <w:color w:val="000000" w:themeColor="text1"/>
          <w:sz w:val="24"/>
        </w:rPr>
        <w:t>条の</w:t>
      </w:r>
      <w:r>
        <w:rPr>
          <w:rFonts w:hint="eastAsia" w:ascii="ＭＳ 明朝" w:hAnsi="ＭＳ 明朝" w:eastAsia="ＭＳ 明朝"/>
          <w:color w:val="000000" w:themeColor="text1"/>
          <w:sz w:val="24"/>
        </w:rPr>
        <w:t>４</w:t>
      </w:r>
      <w:r>
        <w:rPr>
          <w:rFonts w:hint="default" w:ascii="ＭＳ 明朝" w:hAnsi="ＭＳ 明朝" w:eastAsia="ＭＳ 明朝"/>
          <w:color w:val="000000" w:themeColor="text1"/>
          <w:sz w:val="24"/>
        </w:rPr>
        <w:t>の規定に該当しない者であること。</w:t>
      </w:r>
    </w:p>
    <w:p>
      <w:pPr>
        <w:pStyle w:val="0"/>
        <w:ind w:left="480" w:hanging="480" w:hangingChars="200"/>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（２）</w:t>
      </w:r>
      <w:r>
        <w:rPr>
          <w:rFonts w:hint="default" w:ascii="ＭＳ 明朝" w:hAnsi="ＭＳ 明朝" w:eastAsia="ＭＳ 明朝"/>
          <w:color w:val="000000" w:themeColor="text1"/>
          <w:sz w:val="24"/>
        </w:rPr>
        <w:t>民事再生法（平成</w:t>
      </w:r>
      <w:r>
        <w:rPr>
          <w:rFonts w:hint="default" w:ascii="ＭＳ 明朝" w:hAnsi="ＭＳ 明朝" w:eastAsia="ＭＳ 明朝"/>
          <w:color w:val="000000" w:themeColor="text1"/>
          <w:sz w:val="24"/>
        </w:rPr>
        <w:t>11</w:t>
      </w:r>
      <w:r>
        <w:rPr>
          <w:rFonts w:hint="default" w:ascii="ＭＳ 明朝" w:hAnsi="ＭＳ 明朝" w:eastAsia="ＭＳ 明朝"/>
          <w:color w:val="000000" w:themeColor="text1"/>
          <w:sz w:val="24"/>
        </w:rPr>
        <w:t>年法律第</w:t>
      </w:r>
      <w:r>
        <w:rPr>
          <w:rFonts w:hint="default" w:ascii="ＭＳ 明朝" w:hAnsi="ＭＳ 明朝" w:eastAsia="ＭＳ 明朝"/>
          <w:color w:val="000000" w:themeColor="text1"/>
          <w:sz w:val="24"/>
        </w:rPr>
        <w:t>225</w:t>
      </w:r>
      <w:r>
        <w:rPr>
          <w:rFonts w:hint="default" w:ascii="ＭＳ 明朝" w:hAnsi="ＭＳ 明朝" w:eastAsia="ＭＳ 明朝"/>
          <w:color w:val="000000" w:themeColor="text1"/>
          <w:sz w:val="24"/>
        </w:rPr>
        <w:t>号）及び会社更生法（平成</w:t>
      </w:r>
      <w:r>
        <w:rPr>
          <w:rFonts w:hint="default" w:ascii="ＭＳ 明朝" w:hAnsi="ＭＳ 明朝" w:eastAsia="ＭＳ 明朝"/>
          <w:color w:val="000000" w:themeColor="text1"/>
          <w:sz w:val="24"/>
        </w:rPr>
        <w:t>14</w:t>
      </w:r>
      <w:r>
        <w:rPr>
          <w:rFonts w:hint="default" w:ascii="ＭＳ 明朝" w:hAnsi="ＭＳ 明朝" w:eastAsia="ＭＳ 明朝"/>
          <w:color w:val="000000" w:themeColor="text1"/>
          <w:sz w:val="24"/>
        </w:rPr>
        <w:t>年法律第</w:t>
      </w:r>
      <w:r>
        <w:rPr>
          <w:rFonts w:hint="default" w:ascii="ＭＳ 明朝" w:hAnsi="ＭＳ 明朝" w:eastAsia="ＭＳ 明朝"/>
          <w:color w:val="000000" w:themeColor="text1"/>
          <w:sz w:val="24"/>
        </w:rPr>
        <w:t>154</w:t>
      </w:r>
      <w:r>
        <w:rPr>
          <w:rFonts w:hint="default" w:ascii="ＭＳ 明朝" w:hAnsi="ＭＳ 明朝" w:eastAsia="ＭＳ 明朝"/>
          <w:color w:val="000000" w:themeColor="text1"/>
          <w:sz w:val="24"/>
        </w:rPr>
        <w:t>号）に基づく再生又は更生手続開始の申立てがなされていない者であること。</w:t>
      </w:r>
    </w:p>
    <w:p>
      <w:pPr>
        <w:pStyle w:val="0"/>
        <w:ind w:left="480" w:hanging="480" w:hangingChars="200"/>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（３）</w:t>
      </w:r>
      <w:r>
        <w:rPr>
          <w:rFonts w:hint="default" w:ascii="ＭＳ 明朝" w:hAnsi="ＭＳ 明朝" w:eastAsia="ＭＳ 明朝"/>
          <w:color w:val="000000" w:themeColor="text1"/>
          <w:sz w:val="24"/>
        </w:rPr>
        <w:t>会社法（平成</w:t>
      </w:r>
      <w:r>
        <w:rPr>
          <w:rFonts w:hint="default" w:ascii="ＭＳ 明朝" w:hAnsi="ＭＳ 明朝" w:eastAsia="ＭＳ 明朝"/>
          <w:color w:val="000000" w:themeColor="text1"/>
          <w:sz w:val="24"/>
        </w:rPr>
        <w:t>17</w:t>
      </w:r>
      <w:r>
        <w:rPr>
          <w:rFonts w:hint="default" w:ascii="ＭＳ 明朝" w:hAnsi="ＭＳ 明朝" w:eastAsia="ＭＳ 明朝"/>
          <w:color w:val="000000" w:themeColor="text1"/>
          <w:sz w:val="24"/>
        </w:rPr>
        <w:t>年法律第</w:t>
      </w:r>
      <w:r>
        <w:rPr>
          <w:rFonts w:hint="default" w:ascii="ＭＳ 明朝" w:hAnsi="ＭＳ 明朝" w:eastAsia="ＭＳ 明朝"/>
          <w:color w:val="000000" w:themeColor="text1"/>
          <w:sz w:val="24"/>
        </w:rPr>
        <w:t>86</w:t>
      </w:r>
      <w:r>
        <w:rPr>
          <w:rFonts w:hint="default" w:ascii="ＭＳ 明朝" w:hAnsi="ＭＳ 明朝" w:eastAsia="ＭＳ 明朝"/>
          <w:color w:val="000000" w:themeColor="text1"/>
          <w:sz w:val="24"/>
        </w:rPr>
        <w:t>号）に基づく清算の開始又は破産法（平成</w:t>
      </w:r>
      <w:r>
        <w:rPr>
          <w:rFonts w:hint="default" w:ascii="ＭＳ 明朝" w:hAnsi="ＭＳ 明朝" w:eastAsia="ＭＳ 明朝"/>
          <w:color w:val="000000" w:themeColor="text1"/>
          <w:sz w:val="24"/>
        </w:rPr>
        <w:t>16</w:t>
      </w:r>
      <w:r>
        <w:rPr>
          <w:rFonts w:hint="default" w:ascii="ＭＳ 明朝" w:hAnsi="ＭＳ 明朝" w:eastAsia="ＭＳ 明朝"/>
          <w:color w:val="000000" w:themeColor="text1"/>
          <w:sz w:val="24"/>
        </w:rPr>
        <w:t>年法律第</w:t>
      </w:r>
      <w:r>
        <w:rPr>
          <w:rFonts w:hint="default" w:ascii="ＭＳ 明朝" w:hAnsi="ＭＳ 明朝" w:eastAsia="ＭＳ 明朝"/>
          <w:color w:val="000000" w:themeColor="text1"/>
          <w:sz w:val="24"/>
        </w:rPr>
        <w:t>75</w:t>
      </w:r>
      <w:r>
        <w:rPr>
          <w:rFonts w:hint="default" w:ascii="ＭＳ 明朝" w:hAnsi="ＭＳ 明朝" w:eastAsia="ＭＳ 明朝"/>
          <w:color w:val="000000" w:themeColor="text1"/>
          <w:sz w:val="24"/>
        </w:rPr>
        <w:t>号）に基づく破産の申立てがなされていない者であること。</w:t>
      </w:r>
    </w:p>
    <w:p>
      <w:pPr>
        <w:pStyle w:val="0"/>
        <w:ind w:left="480" w:hanging="480" w:hangingChars="200"/>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（４）</w:t>
      </w:r>
      <w:r>
        <w:rPr>
          <w:rFonts w:hint="default" w:ascii="ＭＳ 明朝" w:hAnsi="ＭＳ 明朝" w:eastAsia="ＭＳ 明朝"/>
          <w:color w:val="000000" w:themeColor="text1"/>
          <w:sz w:val="24"/>
        </w:rPr>
        <w:t>内灘町暴力団排除条例（平成</w:t>
      </w:r>
      <w:r>
        <w:rPr>
          <w:rFonts w:hint="default" w:ascii="ＭＳ 明朝" w:hAnsi="ＭＳ 明朝" w:eastAsia="ＭＳ 明朝"/>
          <w:color w:val="000000" w:themeColor="text1"/>
          <w:sz w:val="24"/>
        </w:rPr>
        <w:t>24</w:t>
      </w:r>
      <w:r>
        <w:rPr>
          <w:rFonts w:hint="default" w:ascii="ＭＳ 明朝" w:hAnsi="ＭＳ 明朝" w:eastAsia="ＭＳ 明朝"/>
          <w:color w:val="000000" w:themeColor="text1"/>
          <w:sz w:val="24"/>
        </w:rPr>
        <w:t>年条例第</w:t>
      </w:r>
      <w:r>
        <w:rPr>
          <w:rFonts w:hint="default" w:ascii="ＭＳ 明朝" w:hAnsi="ＭＳ 明朝" w:eastAsia="ＭＳ 明朝"/>
          <w:color w:val="000000" w:themeColor="text1"/>
          <w:sz w:val="24"/>
        </w:rPr>
        <w:t>1</w:t>
      </w:r>
      <w:r>
        <w:rPr>
          <w:rFonts w:hint="default" w:ascii="ＭＳ 明朝" w:hAnsi="ＭＳ 明朝" w:eastAsia="ＭＳ 明朝"/>
          <w:color w:val="000000" w:themeColor="text1"/>
          <w:sz w:val="24"/>
        </w:rPr>
        <w:t>号）に定める暴力団、暴力団員及び暴力団又は暴力団員と社会的に非難されるべき関係を有する者でないこと。</w:t>
      </w:r>
    </w:p>
    <w:p>
      <w:pPr>
        <w:pStyle w:val="0"/>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（５）</w:t>
      </w:r>
      <w:r>
        <w:rPr>
          <w:rFonts w:hint="default" w:ascii="ＭＳ 明朝" w:hAnsi="ＭＳ 明朝" w:eastAsia="ＭＳ 明朝"/>
          <w:color w:val="000000" w:themeColor="text1"/>
          <w:sz w:val="24"/>
        </w:rPr>
        <w:t>国税及び地方税の滞納がないこと。</w:t>
      </w:r>
    </w:p>
    <w:p>
      <w:pPr>
        <w:pStyle w:val="0"/>
        <w:ind w:left="480" w:hanging="480" w:hangingChars="200"/>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（６）</w:t>
      </w:r>
      <w:r>
        <w:rPr>
          <w:rFonts w:hint="default" w:ascii="ＭＳ 明朝" w:hAnsi="ＭＳ 明朝" w:eastAsia="ＭＳ 明朝"/>
          <w:color w:val="000000" w:themeColor="text1"/>
          <w:sz w:val="24"/>
        </w:rPr>
        <w:t>過去</w:t>
      </w:r>
      <w:r>
        <w:rPr>
          <w:rFonts w:hint="eastAsia" w:ascii="ＭＳ 明朝" w:hAnsi="ＭＳ 明朝" w:eastAsia="ＭＳ 明朝"/>
          <w:color w:val="000000" w:themeColor="text1"/>
          <w:sz w:val="24"/>
        </w:rPr>
        <w:t>５</w:t>
      </w:r>
      <w:r>
        <w:rPr>
          <w:rFonts w:hint="default" w:ascii="ＭＳ 明朝" w:hAnsi="ＭＳ 明朝" w:eastAsia="ＭＳ 明朝"/>
          <w:color w:val="000000" w:themeColor="text1"/>
          <w:sz w:val="24"/>
        </w:rPr>
        <w:t>年間（令和</w:t>
      </w:r>
      <w:r>
        <w:rPr>
          <w:rFonts w:hint="eastAsia" w:ascii="ＭＳ 明朝" w:hAnsi="ＭＳ 明朝" w:eastAsia="ＭＳ 明朝"/>
          <w:color w:val="000000" w:themeColor="text1"/>
          <w:sz w:val="24"/>
        </w:rPr>
        <w:t>３</w:t>
      </w:r>
      <w:r>
        <w:rPr>
          <w:rFonts w:hint="default" w:ascii="ＭＳ 明朝" w:hAnsi="ＭＳ 明朝" w:eastAsia="ＭＳ 明朝"/>
          <w:color w:val="000000" w:themeColor="text1"/>
          <w:sz w:val="24"/>
        </w:rPr>
        <w:t>～</w:t>
      </w:r>
      <w:r>
        <w:rPr>
          <w:rFonts w:hint="eastAsia" w:ascii="ＭＳ 明朝" w:hAnsi="ＭＳ 明朝" w:eastAsia="ＭＳ 明朝"/>
          <w:color w:val="000000" w:themeColor="text1"/>
          <w:sz w:val="24"/>
        </w:rPr>
        <w:t>７</w:t>
      </w:r>
      <w:r>
        <w:rPr>
          <w:rFonts w:hint="default" w:ascii="ＭＳ 明朝" w:hAnsi="ＭＳ 明朝" w:eastAsia="ＭＳ 明朝"/>
          <w:color w:val="000000" w:themeColor="text1"/>
          <w:sz w:val="24"/>
        </w:rPr>
        <w:t>年度）で、同様の業務を受注した実績を２自治体以上有し、かつふるさと納税に関する現況調査結果に記載されている寄附額実績が</w:t>
      </w:r>
      <w:r>
        <w:rPr>
          <w:rFonts w:hint="eastAsia" w:ascii="ＭＳ 明朝" w:hAnsi="ＭＳ 明朝" w:eastAsia="ＭＳ 明朝"/>
          <w:color w:val="000000" w:themeColor="text1"/>
          <w:sz w:val="24"/>
        </w:rPr>
        <w:t>業務受注前と比較し、３０</w:t>
      </w:r>
      <w:bookmarkStart w:id="0" w:name="_GoBack"/>
      <w:bookmarkEnd w:id="0"/>
      <w:r>
        <w:rPr>
          <w:rFonts w:hint="eastAsia" w:ascii="ＭＳ 明朝" w:hAnsi="ＭＳ 明朝" w:eastAsia="ＭＳ 明朝"/>
          <w:color w:val="000000" w:themeColor="text1"/>
          <w:sz w:val="24"/>
        </w:rPr>
        <w:t>０％</w:t>
      </w:r>
      <w:r>
        <w:rPr>
          <w:rFonts w:hint="default" w:ascii="ＭＳ 明朝" w:hAnsi="ＭＳ 明朝" w:eastAsia="ＭＳ 明朝"/>
          <w:color w:val="000000" w:themeColor="text1"/>
          <w:sz w:val="24"/>
        </w:rPr>
        <w:t>以上である実績を２自治体以上有していること。</w:t>
      </w:r>
    </w:p>
    <w:p>
      <w:pPr>
        <w:pStyle w:val="0"/>
        <w:ind w:left="480" w:hanging="480" w:hangingChars="200"/>
        <w:rPr>
          <w:rFonts w:hint="default" w:ascii="ＭＳ 明朝" w:hAnsi="ＭＳ 明朝" w:eastAsia="ＭＳ 明朝"/>
          <w:sz w:val="24"/>
        </w:rPr>
      </w:pPr>
      <w:r>
        <w:rPr>
          <w:rFonts w:hint="eastAsia" w:ascii="ＭＳ 明朝" w:hAnsi="ＭＳ 明朝" w:eastAsia="ＭＳ 明朝"/>
          <w:color w:val="000000" w:themeColor="text1"/>
          <w:sz w:val="24"/>
        </w:rPr>
        <w:t>（７）</w:t>
      </w:r>
      <w:r>
        <w:rPr>
          <w:rFonts w:hint="default" w:ascii="ＭＳ 明朝" w:hAnsi="ＭＳ 明朝" w:eastAsia="ＭＳ 明朝"/>
          <w:color w:val="000000" w:themeColor="text1"/>
          <w:sz w:val="24"/>
        </w:rPr>
        <w:t>令和</w:t>
      </w:r>
      <w:r>
        <w:rPr>
          <w:rFonts w:hint="eastAsia" w:ascii="ＭＳ 明朝" w:hAnsi="ＭＳ 明朝" w:eastAsia="ＭＳ 明朝"/>
          <w:color w:val="000000" w:themeColor="text1"/>
          <w:sz w:val="24"/>
        </w:rPr>
        <w:t>９</w:t>
      </w:r>
      <w:r>
        <w:rPr>
          <w:rFonts w:hint="default" w:ascii="ＭＳ 明朝" w:hAnsi="ＭＳ 明朝" w:eastAsia="ＭＳ 明朝"/>
          <w:color w:val="000000" w:themeColor="text1"/>
          <w:sz w:val="24"/>
        </w:rPr>
        <w:t>年</w:t>
      </w:r>
      <w:r>
        <w:rPr>
          <w:rFonts w:hint="eastAsia" w:ascii="ＭＳ 明朝" w:hAnsi="ＭＳ 明朝" w:eastAsia="ＭＳ 明朝"/>
          <w:color w:val="000000" w:themeColor="text1"/>
          <w:sz w:val="24"/>
        </w:rPr>
        <w:t>４</w:t>
      </w:r>
      <w:r>
        <w:rPr>
          <w:rFonts w:hint="default" w:ascii="ＭＳ 明朝" w:hAnsi="ＭＳ 明朝" w:eastAsia="ＭＳ 明朝"/>
          <w:color w:val="000000" w:themeColor="text1"/>
          <w:sz w:val="24"/>
        </w:rPr>
        <w:t>月</w:t>
      </w:r>
      <w:r>
        <w:rPr>
          <w:rFonts w:hint="eastAsia" w:ascii="ＭＳ 明朝" w:hAnsi="ＭＳ 明朝" w:eastAsia="ＭＳ 明朝"/>
          <w:color w:val="000000" w:themeColor="text1"/>
          <w:sz w:val="24"/>
        </w:rPr>
        <w:t>１</w:t>
      </w:r>
      <w:r>
        <w:rPr>
          <w:rFonts w:hint="default" w:ascii="ＭＳ 明朝" w:hAnsi="ＭＳ 明朝" w:eastAsia="ＭＳ 明朝"/>
          <w:color w:val="000000" w:themeColor="text1"/>
          <w:sz w:val="24"/>
        </w:rPr>
        <w:t>日までに石川県内に事業所を設置し、本業務を遂行するための専門知識を有した責任者を常駐配置し、業務を遂行する体制がとれること。</w:t>
      </w:r>
    </w:p>
    <w:sectPr>
      <w:pgSz w:w="11906" w:h="16838"/>
      <w:pgMar w:top="1418" w:right="1418" w:bottom="1418"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42</TotalTime>
  <Pages>1</Pages>
  <Words>117</Words>
  <Characters>672</Characters>
  <Application>JUST Note</Application>
  <Lines>5</Lines>
  <Paragraphs>1</Paragraphs>
  <CharactersWithSpaces>788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Administrator</cp:lastModifiedBy>
  <dcterms:created xsi:type="dcterms:W3CDTF">2025-09-11T07:49:00Z</dcterms:created>
  <dcterms:modified xsi:type="dcterms:W3CDTF">2026-09-26T02:09:24Z</dcterms:modified>
  <cp:revision>7</cp:revision>
</cp:coreProperties>
</file>