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（様式第１号）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申込日</w:t>
      </w:r>
      <w:r>
        <w:rPr>
          <w:rFonts w:hint="eastAsia" w:asciiTheme="majorEastAsia" w:hAnsiTheme="majorEastAsia" w:eastAsiaTheme="majorEastAsia"/>
        </w:rPr>
        <w:t>：</w:t>
      </w: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  <w:b w:val="1"/>
          <w:dstrike w:val="1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住家の被害の拡大を防止するための緊急の修理に関する申込書</w:t>
      </w: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内灘町長　川口　克則　様</w:t>
      </w: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</w:rPr>
        <w:t>　住宅の</w:t>
      </w:r>
      <w:r>
        <w:rPr>
          <w:rFonts w:hint="eastAsia" w:asciiTheme="majorEastAsia" w:hAnsiTheme="majorEastAsia" w:eastAsiaTheme="majorEastAsia"/>
          <w:color w:val="000000" w:themeColor="text1"/>
        </w:rPr>
        <w:t>緊急の</w:t>
      </w:r>
      <w:r>
        <w:rPr>
          <w:rFonts w:hint="default" w:asciiTheme="majorEastAsia" w:hAnsiTheme="majorEastAsia" w:eastAsiaTheme="majorEastAsia"/>
          <w:color w:val="000000" w:themeColor="text1"/>
        </w:rPr>
        <w:t>修理を実施</w:t>
      </w:r>
      <w:r>
        <w:rPr>
          <w:rFonts w:hint="eastAsia" w:asciiTheme="majorEastAsia" w:hAnsiTheme="majorEastAsia" w:eastAsiaTheme="majorEastAsia"/>
          <w:color w:val="000000" w:themeColor="text1"/>
        </w:rPr>
        <w:t>したく</w:t>
      </w:r>
      <w:r>
        <w:rPr>
          <w:rFonts w:hint="default" w:asciiTheme="majorEastAsia" w:hAnsiTheme="majorEastAsia" w:eastAsiaTheme="majorEastAsia"/>
          <w:color w:val="000000" w:themeColor="text1"/>
        </w:rPr>
        <w:t>申し込みます。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color w:val="000000" w:themeColor="text1"/>
        </w:rPr>
        <w:t>　なお、住宅の応急修理の申し込みに関</w:t>
      </w:r>
      <w:r>
        <w:rPr>
          <w:rFonts w:hint="default" w:asciiTheme="majorEastAsia" w:hAnsiTheme="majorEastAsia" w:eastAsiaTheme="majorEastAsia"/>
        </w:rPr>
        <w:t>して、世帯員の収入、世帯構成を</w:t>
      </w:r>
      <w:r>
        <w:rPr>
          <w:rFonts w:hint="eastAsia" w:asciiTheme="majorEastAsia" w:hAnsiTheme="majorEastAsia" w:eastAsiaTheme="majorEastAsia"/>
          <w:color w:val="000000" w:themeColor="text1"/>
        </w:rPr>
        <w:t>町</w:t>
      </w:r>
      <w:r>
        <w:rPr>
          <w:rFonts w:hint="default" w:asciiTheme="majorEastAsia" w:hAnsiTheme="majorEastAsia" w:eastAsiaTheme="majorEastAsia"/>
        </w:rPr>
        <w:t>の担当者が調査・確認することに同意します。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【被害を受けた住宅の所在地】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【連絡先（ＴＥＬ）】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u w:val="single" w:color="auto"/>
        </w:rPr>
        <w:t>（自宅・携帯・勤務先・その他）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</w:rPr>
        <w:t>【生年月日】</w:t>
      </w:r>
      <w:r>
        <w:rPr>
          <w:rFonts w:hint="default" w:asciiTheme="majorEastAsia" w:hAnsiTheme="majorEastAsia" w:eastAsiaTheme="majorEastAsia"/>
          <w:spacing w:val="-9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明治・大正・昭和・平成　　年　　月　　日生（　　歳）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【氏　　名】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                    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spacing w:val="-9"/>
          <w:u w:val="single" w:color="auto"/>
        </w:rPr>
        <w:t>　　　　　　　　　　　　　　　　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１　被災日時</w:t>
      </w:r>
      <w:r>
        <w:rPr>
          <w:rFonts w:hint="default" w:asciiTheme="majorEastAsia" w:hAnsiTheme="majorEastAsia" w:eastAsiaTheme="majorEastAsia"/>
        </w:rPr>
        <w:t>　　　　　</w:t>
      </w:r>
      <w:r>
        <w:rPr>
          <w:rFonts w:hint="default" w:asciiTheme="majorEastAsia" w:hAnsiTheme="majorEastAsia" w:eastAsiaTheme="majorEastAsia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>６</w:t>
      </w:r>
      <w:r>
        <w:rPr>
          <w:rFonts w:hint="default" w:asciiTheme="majorEastAsia" w:hAnsiTheme="majorEastAsia" w:eastAsiaTheme="majorEastAsia"/>
          <w:u w:val="single" w:color="auto"/>
        </w:rPr>
        <w:t>年</w:t>
      </w:r>
      <w:r>
        <w:rPr>
          <w:rFonts w:hint="eastAsia" w:asciiTheme="majorEastAsia" w:hAnsiTheme="majorEastAsia" w:eastAsiaTheme="majorEastAsia"/>
          <w:u w:val="single" w:color="auto"/>
        </w:rPr>
        <w:t>　１</w:t>
      </w:r>
      <w:r>
        <w:rPr>
          <w:rFonts w:hint="default" w:asciiTheme="majorEastAsia" w:hAnsiTheme="majorEastAsia" w:eastAsiaTheme="majorEastAsia"/>
          <w:u w:val="single" w:color="auto"/>
        </w:rPr>
        <w:t>月</w:t>
      </w:r>
      <w:r>
        <w:rPr>
          <w:rFonts w:hint="eastAsia" w:asciiTheme="majorEastAsia" w:hAnsiTheme="majorEastAsia" w:eastAsiaTheme="majorEastAsia"/>
          <w:u w:val="single" w:color="auto"/>
        </w:rPr>
        <w:t>　１</w:t>
      </w:r>
      <w:r>
        <w:rPr>
          <w:rFonts w:hint="default" w:asciiTheme="majorEastAsia" w:hAnsiTheme="majorEastAsia" w:eastAsiaTheme="majorEastAsia"/>
          <w:u w:val="single" w:color="auto"/>
        </w:rPr>
        <w:t>日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２　災害名　　　　　</w:t>
      </w: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default" w:asciiTheme="majorEastAsia" w:hAnsiTheme="majorEastAsia" w:eastAsiaTheme="majorEastAsia"/>
          <w:b w:val="1"/>
        </w:rPr>
        <w:t>（　</w:t>
      </w:r>
      <w:r>
        <w:rPr>
          <w:rFonts w:hint="eastAsia" w:asciiTheme="majorEastAsia" w:hAnsiTheme="majorEastAsia" w:eastAsiaTheme="majorEastAsia"/>
          <w:b w:val="1"/>
        </w:rPr>
        <w:t>令和６年能登半島地震　</w:t>
      </w:r>
      <w:r>
        <w:rPr>
          <w:rFonts w:hint="default" w:asciiTheme="majorEastAsia" w:hAnsiTheme="majorEastAsia" w:eastAsiaTheme="majorEastAsia"/>
          <w:b w:val="1"/>
        </w:rPr>
        <w:t>　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</w:rPr>
        <w:t>３</w:t>
      </w:r>
      <w:r>
        <w:rPr>
          <w:rFonts w:hint="default" w:asciiTheme="majorEastAsia" w:hAnsiTheme="majorEastAsia" w:eastAsiaTheme="majorEastAsia"/>
          <w:b w:val="1"/>
          <w:color w:val="000000" w:themeColor="text1"/>
        </w:rPr>
        <w:t>　被害を受けた住宅の部位</w:t>
      </w:r>
    </w:p>
    <w:p>
      <w:pPr>
        <w:pStyle w:val="0"/>
        <w:snapToGrid w:val="0"/>
        <w:ind w:left="241" w:leftChars="100" w:right="120" w:rightChars="50" w:firstLine="241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</w:rPr>
        <w:t>（</w:t>
      </w:r>
      <w:r>
        <w:rPr>
          <w:rFonts w:hint="default" w:asciiTheme="majorEastAsia" w:hAnsiTheme="majorEastAsia" w:eastAsiaTheme="majorEastAsia"/>
          <w:color w:val="000000" w:themeColor="text1"/>
        </w:rPr>
        <w:t>※</w:t>
      </w:r>
      <w:r>
        <w:rPr>
          <w:rFonts w:hint="default" w:asciiTheme="majorEastAsia" w:hAnsiTheme="majorEastAsia" w:eastAsiaTheme="majorEastAsia"/>
          <w:color w:val="000000" w:themeColor="text1"/>
        </w:rPr>
        <w:t>該当箇所に</w:t>
      </w:r>
      <w:r>
        <w:rPr>
          <w:rFonts w:hint="default" w:asciiTheme="majorEastAsia" w:hAnsiTheme="majorEastAsia" w:eastAsiaTheme="majorEastAsia"/>
          <w:color w:val="000000" w:themeColor="text1"/>
        </w:rPr>
        <w:t>○</w:t>
      </w:r>
      <w:r>
        <w:rPr>
          <w:rFonts w:hint="default" w:asciiTheme="majorEastAsia" w:hAnsiTheme="majorEastAsia" w:eastAsiaTheme="majorEastAsia"/>
          <w:color w:val="000000" w:themeColor="text1"/>
        </w:rPr>
        <w:t>をつけてください。）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・</w:t>
      </w:r>
      <w:r>
        <w:rPr>
          <w:rFonts w:hint="default" w:asciiTheme="majorEastAsia" w:hAnsiTheme="majorEastAsia" w:eastAsiaTheme="majorEastAsia"/>
          <w:color w:val="000000" w:themeColor="text1"/>
        </w:rPr>
        <w:t>　屋根　　　　　</w:t>
      </w:r>
      <w:r>
        <w:rPr>
          <w:rFonts w:hint="default" w:asciiTheme="majorEastAsia" w:hAnsiTheme="majorEastAsia" w:eastAsiaTheme="majorEastAsia"/>
          <w:b w:val="1"/>
          <w:color w:val="000000" w:themeColor="text1"/>
        </w:rPr>
        <w:t>・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外壁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・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窓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　　　　</w:t>
      </w:r>
      <w:r>
        <w:rPr>
          <w:rFonts w:hint="default" w:asciiTheme="majorEastAsia" w:hAnsiTheme="majorEastAsia" w:eastAsiaTheme="majorEastAsia"/>
          <w:b w:val="1"/>
          <w:color w:val="000000" w:themeColor="text1"/>
        </w:rPr>
        <w:t>・</w:t>
      </w:r>
      <w:r>
        <w:rPr>
          <w:rFonts w:hint="eastAsia" w:asciiTheme="majorEastAsia" w:hAnsiTheme="majorEastAsia" w:eastAsiaTheme="majorEastAsia"/>
          <w:color w:val="000000" w:themeColor="text1"/>
        </w:rPr>
        <w:t>　ドア</w:t>
      </w:r>
    </w:p>
    <w:p>
      <w:pPr>
        <w:pStyle w:val="0"/>
        <w:spacing w:line="396" w:lineRule="exact"/>
        <w:ind w:firstLine="484" w:firstLineChars="2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・</w:t>
      </w:r>
      <w:r>
        <w:rPr>
          <w:rFonts w:hint="default" w:asciiTheme="majorEastAsia" w:hAnsiTheme="majorEastAsia" w:eastAsiaTheme="majorEastAsia"/>
          <w:color w:val="000000" w:themeColor="text1"/>
        </w:rPr>
        <w:t>　その他（　　　　　　　　　　　）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spacing w:line="316" w:lineRule="exact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18"/>
        </w:rPr>
        <w:t>４　</w:t>
      </w:r>
      <w:r>
        <w:rPr>
          <w:rFonts w:hint="eastAsia" w:ascii="ＭＳ ゴシック" w:hAnsi="ＭＳ ゴシック" w:eastAsia="ＭＳ ゴシック"/>
          <w:color w:val="000000" w:themeColor="text1"/>
        </w:rPr>
        <w:t>緊急の修理内容　</w:t>
      </w:r>
    </w:p>
    <w:p>
      <w:pPr>
        <w:pStyle w:val="0"/>
        <w:spacing w:line="316" w:lineRule="exact"/>
        <w:ind w:firstLine="723" w:firstLineChars="300"/>
        <w:rPr>
          <w:rFonts w:hint="default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（修理金額が上限額（５万円）を超える金額は、被災者負担になります。）</w:t>
      </w:r>
    </w:p>
    <w:p>
      <w:pPr>
        <w:pStyle w:val="0"/>
        <w:spacing w:line="316" w:lineRule="exact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pacing w:line="316" w:lineRule="exact"/>
        <w:ind w:firstLine="482" w:firstLine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以下のいずれかの☐にチェックをしてください。</w:t>
      </w:r>
      <w:r>
        <w:rPr>
          <w:rFonts w:hint="default" w:ascii="ＭＳ ゴシック" w:hAnsi="ＭＳ ゴシック" w:eastAsia="ＭＳ ゴシック"/>
          <w:color w:val="000000" w:themeColor="text1"/>
        </w:rPr>
        <w:t>　　</w:t>
      </w:r>
    </w:p>
    <w:p>
      <w:pPr>
        <w:pStyle w:val="0"/>
        <w:spacing w:line="316" w:lineRule="exact"/>
        <w:ind w:firstLine="482" w:firstLineChars="200"/>
        <w:rPr>
          <w:rFonts w:hint="default"/>
          <w:color w:val="000000" w:themeColor="text1"/>
        </w:rPr>
      </w:pPr>
    </w:p>
    <w:p>
      <w:pPr>
        <w:pStyle w:val="21"/>
        <w:widowControl w:val="1"/>
        <w:numPr>
          <w:ilvl w:val="0"/>
          <w:numId w:val="1"/>
        </w:numPr>
        <w:overflowPunct w:val="1"/>
        <w:adjustRightInd w:val="1"/>
        <w:ind w:leftChars="0"/>
        <w:jc w:val="left"/>
        <w:textAlignment w:val="auto"/>
        <w:rPr>
          <w:rFonts w:hint="default" w:asciiTheme="majorEastAsia" w:hAnsiTheme="majorEastAsia" w:eastAsiaTheme="majorEastAsia"/>
          <w:color w:val="000000" w:themeColor="text1"/>
          <w:spacing w:val="18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635" r="635" b="635"/>
                <wp:wrapNone/>
                <wp:docPr id="1026" name="グループ化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GrpSpPr/>
                        <wpg:grpSpPr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028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29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/>
                                  </w:rPr>
                                  <w:t>受付欄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0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内灘町</w:t>
                              </w:r>
                              <w:r>
                                <w:rPr>
                                  <w:rFonts w:hint="default"/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style="mso-wrap-distance-right:9pt;mso-wrap-distance-bottom:0pt;margin-top:1.7pt;mso-position-vertical-relative:text;mso-position-horizontal-relative:text;position:absolute;height:147.4pt;mso-wrap-distance-top:0pt;width:153.05000000000001pt;mso-wrap-distance-left:9pt;margin-left:316.05pt;z-index:2;" coordsize="1943735,1871980" coordorigin="0,0" o:spid="_x0000_s1026" o:allowincell="t" o:allowoverlap="t">
                <v:group id="_x0000_s1027" style="height:1649095;width:1440180;top:0;left:323850;position:absolute;" coordsize="2268,2597" coordorigin="8754,13444">
                  <v:rect id="Rectangle 133" style="height:2268;width:2268;top:13773;left:8754;position:absolute;" o:spid="_x0000_s1028" filled="t" fillcolor="#ffffff" stroked="t" strokecolor="#000000" strokeweight="0.75pt" o:spt="1">
                    <v:fill/>
                    <v:stroke miterlimit="8" filltype="solid"/>
                    <v:textbox style="layout-flow:horizontal;"/>
                    <v:imagedata o:title=""/>
                    <w10:wrap type="none" anchorx="text" anchory="text"/>
                  </v:rect>
                  <v:rect id="Rectangle 134" style="height:326;width:2268;top:13444;left:8754;position:absolute;" o:spid="_x0000_s1029" filled="t" fillcolor="#ffffff" stroked="t" strokecolor="#000000" strokeweight="0.75pt" o:spt="1">
                    <v:fill/>
                    <v:stroke miterlimit="8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受付欄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w10:wrap type="none" anchorx="text" anchory="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style="height:224155;width:1943735;top:1647825;left:0;position:absolute;" o:spid="_x0000_s1030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right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内灘町</w:t>
                        </w:r>
                        <w:r>
                          <w:rPr>
                            <w:rFonts w:hint="default"/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</w:rPr>
        <w:t>修理業者によるブルーシートの展張</w:t>
      </w:r>
    </w:p>
    <w:p>
      <w:pPr>
        <w:pStyle w:val="21"/>
        <w:widowControl w:val="1"/>
        <w:overflowPunct w:val="1"/>
        <w:adjustRightInd w:val="1"/>
        <w:ind w:left="910" w:leftChars="0"/>
        <w:jc w:val="left"/>
        <w:textAlignment w:val="auto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21"/>
        <w:widowControl w:val="1"/>
        <w:numPr>
          <w:ilvl w:val="0"/>
          <w:numId w:val="1"/>
        </w:numPr>
        <w:overflowPunct w:val="1"/>
        <w:adjustRightInd w:val="1"/>
        <w:ind w:leftChars="0"/>
        <w:jc w:val="left"/>
        <w:textAlignment w:val="auto"/>
        <w:rPr>
          <w:rFonts w:hint="default" w:asciiTheme="majorEastAsia" w:hAnsiTheme="majorEastAsia" w:eastAsiaTheme="majorEastAsia"/>
          <w:color w:val="000000" w:themeColor="text1"/>
          <w:spacing w:val="18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自治体等からの支給品を使用し、</w:t>
      </w:r>
    </w:p>
    <w:p>
      <w:pPr>
        <w:pStyle w:val="0"/>
        <w:widowControl w:val="1"/>
        <w:overflowPunct w:val="1"/>
        <w:adjustRightInd w:val="1"/>
        <w:ind w:firstLine="964" w:firstLineChars="400"/>
        <w:jc w:val="left"/>
        <w:textAlignment w:val="auto"/>
        <w:rPr>
          <w:rFonts w:hint="default" w:asciiTheme="majorEastAsia" w:hAnsiTheme="majorEastAsia" w:eastAsiaTheme="majorEastAsia"/>
          <w:color w:val="000000" w:themeColor="text1"/>
          <w:spacing w:val="18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修理業者によるブルーシートの展張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 w:asciiTheme="majorEastAsia" w:hAnsiTheme="majorEastAsia" w:eastAsiaTheme="majorEastAsia"/>
          <w:spacing w:val="18"/>
        </w:rPr>
      </w:pPr>
      <w:r>
        <w:rPr>
          <w:rFonts w:hint="eastAsia" w:asciiTheme="majorEastAsia" w:hAnsiTheme="majorEastAsia" w:eastAsiaTheme="majorEastAsia"/>
          <w:spacing w:val="18"/>
        </w:rPr>
        <w:t>　　　　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sectPr>
      <w:headerReference r:id="rId7" w:type="default"/>
      <w:footerReference r:id="rId9" w:type="default"/>
      <w:headerReference r:id="rId6" w:type="first"/>
      <w:footerReference r:id="rId8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1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139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81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23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65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07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49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91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33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3</Words>
  <Characters>385</Characters>
  <Application>JUST Note</Application>
  <Lines>45</Lines>
  <Paragraphs>25</Paragraphs>
  <Company>厚生労働省</Company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2024-01-09T01:17:14Z</cp:lastPrinted>
  <dcterms:created xsi:type="dcterms:W3CDTF">2024-01-03T10:07:00Z</dcterms:created>
  <dcterms:modified xsi:type="dcterms:W3CDTF">2024-01-09T01:17:14Z</dcterms:modified>
  <cp:revision>8</cp:revision>
</cp:coreProperties>
</file>